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86813">
      <w:pPr>
        <w:spacing w:line="360"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麻醉机</w:t>
      </w:r>
      <w:r>
        <w:rPr>
          <w:rFonts w:hint="eastAsia" w:ascii="仿宋_GB2312" w:hAnsi="仿宋_GB2312" w:eastAsia="仿宋_GB2312" w:cs="仿宋_GB2312"/>
          <w:sz w:val="32"/>
          <w:szCs w:val="32"/>
          <w:lang w:val="en-US" w:eastAsia="zh-CN"/>
        </w:rPr>
        <w:t>基础参数</w:t>
      </w:r>
    </w:p>
    <w:p w14:paraId="56FB30C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工作条件</w:t>
      </w:r>
    </w:p>
    <w:p w14:paraId="7D8A2E9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1.1.操作环境，温度：10°至40°C，湿度：15至95%，大气压：500至800mmHg。</w:t>
      </w:r>
    </w:p>
    <w:p w14:paraId="392AEFF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1.2.电源：120/220V</w:t>
      </w:r>
      <w:bookmarkStart w:id="0" w:name="_GoBack"/>
      <w:bookmarkEnd w:id="0"/>
      <w:r>
        <w:rPr>
          <w:rFonts w:hint="eastAsia" w:ascii="仿宋_GB2312" w:hAnsi="仿宋_GB2312" w:eastAsia="仿宋_GB2312" w:cs="仿宋_GB2312"/>
          <w:sz w:val="32"/>
          <w:szCs w:val="32"/>
        </w:rPr>
        <w:t>-240V(±10%),50Hz-60Hz。</w:t>
      </w:r>
    </w:p>
    <w:p w14:paraId="3F45842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1.3.后备铅酸电池，使用时间90分钟。</w:t>
      </w:r>
    </w:p>
    <w:p w14:paraId="68EC357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1.4.机架：带推车，前扶手，三个大抽屉，中央脚刹。</w:t>
      </w:r>
    </w:p>
    <w:p w14:paraId="48CD14B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1.5.外置可视上升式风箱，便于远距离观察，成人、小儿不用更换风箱</w:t>
      </w:r>
    </w:p>
    <w:p w14:paraId="7EA17B1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1.6.工作台双层灯光，无极亮度可调（非档位调节），全金属台面</w:t>
      </w:r>
    </w:p>
    <w:p w14:paraId="13FAFDF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1.7.显示屏RS232接口，USB接口，以太网络接口，投影仪分屏VGA接口。</w:t>
      </w:r>
    </w:p>
    <w:p w14:paraId="1EECB40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1.8.缆线防缠绕功能，防止在推动机器过程中脚轮被环境中线缆缠绕。</w:t>
      </w:r>
    </w:p>
    <w:p w14:paraId="5B41B01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气源</w:t>
      </w:r>
    </w:p>
    <w:p w14:paraId="020E459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2.1.双气源：氧气、空气。氧气：具备安全保护装置，在供氧压低于252Kpa时报警。</w:t>
      </w:r>
    </w:p>
    <w:p w14:paraId="789091C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2.2.气源供气通过中心供氧和中心供气实现。</w:t>
      </w:r>
    </w:p>
    <w:p w14:paraId="5D34D2D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2.3.快速充氧范围25-75L/min。</w:t>
      </w:r>
    </w:p>
    <w:p w14:paraId="4E8A3DC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2.4.附加氧功能，可在不开机的情况下给患者吸氧。</w:t>
      </w:r>
    </w:p>
    <w:p w14:paraId="2870DEC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流量计</w:t>
      </w:r>
    </w:p>
    <w:p w14:paraId="1CD061B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3.1标配氧气、空气气源具备氧气空气电子流量计和后备机械流量计</w:t>
      </w:r>
    </w:p>
    <w:p w14:paraId="0D201A5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电子流量计：氧气、空气流量分别显示，流量范围0.15-15L/min，可在屏幕上直接设定氧气、空气流量，可在屏幕上直接设定氧气浓度和新鲜气体总体积。可提供两种流量设置方式：分流量设置（分别设置氧气，空气的单独流量）及总流量设置（直接设置新鲜气体总流量）</w:t>
      </w:r>
    </w:p>
    <w:p w14:paraId="239F5A7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3.3.最低流量150mL/min，以保证安全。</w:t>
      </w:r>
    </w:p>
    <w:p w14:paraId="335E5F6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3.4.具备备用机械流量计，流量范围0.5-10L/min，保证在停电时能正常工作备用氧，可通过备用氧输送氧气与麻醉药给患者，在电子混合气故障时确保患者安全，具备工作状态指示灯，启用时亮起。</w:t>
      </w:r>
    </w:p>
    <w:p w14:paraId="467F840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挥发罐</w:t>
      </w:r>
    </w:p>
    <w:p w14:paraId="24F9F46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4.1.标配双罐位，具有安全互锁功能，配同品牌七氟醚挥发罐一个。</w:t>
      </w:r>
    </w:p>
    <w:p w14:paraId="24224C7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4.2.快速加药器,避免麻药泄露。</w:t>
      </w:r>
    </w:p>
    <w:p w14:paraId="52DD4A4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4.3.具备开机自检功能，开机自检具备挥发罐泄漏自检程序，可实现程序化挥发罐自检，并可自动识别罐位，避免长期使用橡胶圈老化带来的麻药泄露风险。</w:t>
      </w:r>
    </w:p>
    <w:p w14:paraId="0E774AB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4.4.主机自带挥发罐专用照明灯，灯光亮度可调，方便腔镜手术昏暗环境下精准调控挥发罐。</w:t>
      </w:r>
    </w:p>
    <w:p w14:paraId="2849D59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呼吸回路</w:t>
      </w:r>
    </w:p>
    <w:p w14:paraId="3393413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5.1.3.1L极小的回路容积（包含回路系统、二氧化碳吸收罐、风箱），为快速调节新鲜气体流量以及输出麻药浓度提供了保障，且手动皮囊不参与机械通气。</w:t>
      </w:r>
    </w:p>
    <w:p w14:paraId="3338D80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5.2.小容积模块化呼吸回路，所有传感器及连接电缆内置在回路内；所有回路模块不用任何工具可以拆卸、安装，所有模块(包含流量传感器)。</w:t>
      </w:r>
    </w:p>
    <w:p w14:paraId="26C38B1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机控下所有与患者呼出气体接触部分的呼吸回路（含流量传感器、风箱折叠皮囊，二氧化碳吸收罐，呼吸活瓣）可耐受134℃高温高压消毒避免院内交叉感染，流量传感器、风箱折叠皮囊、二氧化碳吸收罐上均必须具有134℃国际认证标识</w:t>
      </w:r>
    </w:p>
    <w:p w14:paraId="36BB93F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5.4.可重复使用具备干湿分离功能的双层二氧化碳吸收罐，具备水管理系统，具备回路冷凝功能，保证回路不受积水影响，保证流量传感器精准。</w:t>
      </w:r>
    </w:p>
    <w:p w14:paraId="55288E2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5.5.内置二氧化碳旁路功能，支持术中更换可重复使用的同品牌二氧化碳吸收罐，无需关停机械通气，可方便直接更换，不会产生漏气。</w:t>
      </w:r>
    </w:p>
    <w:p w14:paraId="0FE227B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5.6.使用备用电池时回路仍可部分加热解决回路积水问题。</w:t>
      </w:r>
    </w:p>
    <w:p w14:paraId="721A5E2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5.7.回路单向活瓣采用新型内置设计，回路无需单向活瓣观察窗，活瓣垂直放置，避免因水汽影响打开失败。</w:t>
      </w:r>
    </w:p>
    <w:p w14:paraId="789A499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5.8.智能回路系统，能识别和显示：正在使用回路类型、正在使用呼吸模式以及CO2吸收罐状态。</w:t>
      </w:r>
    </w:p>
    <w:p w14:paraId="52052C6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5.9.具备手动皮襄支架可不同角度及高度的调整，且不参与手动通气，不存在回路漏气风险，避免通气管道难以消毒彻底，减少交叉感染风险。</w:t>
      </w:r>
    </w:p>
    <w:p w14:paraId="2F74496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6.0.被动排污系统。</w:t>
      </w:r>
    </w:p>
    <w:p w14:paraId="2B850E1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呼吸机</w:t>
      </w:r>
    </w:p>
    <w:p w14:paraId="2A7B25D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6.1.气动电控呼吸机，全中文操作和显示。</w:t>
      </w:r>
    </w:p>
    <w:p w14:paraId="5167382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6.2.适用范围：新生儿、儿童及成人等所有病人通气。并具备专门的新生儿模式选项。</w:t>
      </w:r>
    </w:p>
    <w:p w14:paraId="7FE290A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6.3.人体工程学设计临床需求15英寸彩色触摸显示屏，可平面旋转至少180度及可调节倾斜度（非第三方外置屏幕），方便医生全方位多角度观察和灵活操作机器，具备双分屏显示功能，当触屏失灵，手动可调。</w:t>
      </w:r>
    </w:p>
    <w:p w14:paraId="31D4380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6.4.用户可选择的全自检或部分自检功能，既能保证安全的使用，又能保证紧急抢救时的快速启动，可无限次跳过自检。</w:t>
      </w:r>
    </w:p>
    <w:p w14:paraId="3575300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提供辅助/控制/支持通气模式，:容量控制（VCV）、压力控制（PCV）、手动通气、电子PEEP，同步间歇指令压力控制（SIMVPCV）、同步间歇指令容量控制（SIMVVCV）、带窒息后备保护通气的PSV（PSVPro）、压力控制容量保证(PCV-VG)、同步间歇指令压力控制压力控制容量保证（SIMVPCV-VG）。</w:t>
      </w:r>
    </w:p>
    <w:p w14:paraId="6BC0D9E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6.6.SIMV模式：流速触发，触发范围:0.2–10L/min；触发窗范围:关，5%–80%呼气时间；机械通气呼吸频率为：2-60次/分钟、吸气时间：0.2-5.0秒；压力支持：2-40cmH2O</w:t>
      </w:r>
    </w:p>
    <w:p w14:paraId="60737C4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具备窒息保护的PSVpro模式：流速触发；终末吸气流速调节吸、呼转换：吸气暂停：关，5%-60%时间；吸气终止水平：5%-75%；压力范围：0，2-40cmH2O；窒息发生后10—30秒范围内可调启动SIMV-PCV安全模式；当患者触发的呼吸次数的达到“退出后备”中设置的参数后，呼吸机将自动恢复PSVPro模式。</w:t>
      </w:r>
    </w:p>
    <w:p w14:paraId="4974A80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6.8.触发退出后备通气模式的自主呼吸次数设置范围：关，1-5次。</w:t>
      </w:r>
    </w:p>
    <w:p w14:paraId="1B5E2F3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6.9.VCV心脏旁路功能，并可在VCV模式下进行机械通气；容量、呼吸暂停、低浓度麻药、二氧化碳、低气道压和呼吸频率报警都暂停。</w:t>
      </w:r>
    </w:p>
    <w:p w14:paraId="0747213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6.10.开始心肺旁路之前，小于170毫升的潮气量设置仍为设定的潮气量。开始心肺旁路之前，大于170毫升的潮气量自动调整为170毫升。</w:t>
      </w:r>
    </w:p>
    <w:p w14:paraId="4ED0E2B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6.11.气流暂停功能，适用于机械通气，通过一键式操作即可实现暂停新鲜气流和报警，方便术中吸痰，管位调整等操作，且暂停1分钟之后会自动跳转原工作状态，避免忘记操作的风险。</w:t>
      </w:r>
    </w:p>
    <w:p w14:paraId="4B3C3C6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6.12.潮气量范围:5-1500mL，容量控制模式下20-1500mL，压力控制模式下5-1500mL。</w:t>
      </w:r>
    </w:p>
    <w:p w14:paraId="60E5E76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6.13.呼吸频率：4-100次/分钟。</w:t>
      </w:r>
    </w:p>
    <w:p w14:paraId="6EEB25C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6.14.吸呼比：2:1到1:8。</w:t>
      </w:r>
    </w:p>
    <w:p w14:paraId="4E15D29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6.15.最大吸气流速：120L/min+新鲜气体流量。</w:t>
      </w:r>
    </w:p>
    <w:p w14:paraId="363D79D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6.16.压力限制范围：12到100cmH2O。</w:t>
      </w:r>
    </w:p>
    <w:p w14:paraId="2B00B22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6.17.吸气压力设置范围:5cm-60cmH2O。</w:t>
      </w:r>
    </w:p>
    <w:p w14:paraId="6F7939A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6.18.PEEP范围：关，4到30cmH2O。</w:t>
      </w:r>
    </w:p>
    <w:p w14:paraId="18A4924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6.19.三种工作模式：通气模式、待机模式和心脏手术模式。</w:t>
      </w:r>
    </w:p>
    <w:p w14:paraId="7C8BAD7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6.20.具备30分钟迷你趋势追踪，可以动态显示压力、分钟通气量、CO2等参数30min内的变化，可与术中麻醉机其他参数同屏显示。</w:t>
      </w:r>
    </w:p>
    <w:p w14:paraId="5B37239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数字和波形监测</w:t>
      </w:r>
    </w:p>
    <w:p w14:paraId="6D5DE30C">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7.1.监测参数：吸入氧、空气流量、可选笑气、潮气量、分钟通气量、气道压（峰压、平台压、平均压、PEEP）；实时压力时间、流速时间呼吸波形描记并同屏显示。</w:t>
      </w:r>
    </w:p>
    <w:p w14:paraId="45DC393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回路呼吸环监测功能，可监测描记：压力容量环（P-V）、容量流量环(V-F)和压力流量(P-F)环，并可与波形同屏显示；回路顺应性；气体流速。可冻结储存六个呼吸环（不包括基础环），用于不同手术期间肺顺应性监测对比。</w:t>
      </w:r>
    </w:p>
    <w:p w14:paraId="2C8C0EE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7.3.报警参数：氧浓度、低驱动压、气道压、潮气量、分钟通气量、窒息</w:t>
      </w:r>
    </w:p>
    <w:p w14:paraId="39C2300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7.4.具备压力上限、下限报警功能</w:t>
      </w:r>
    </w:p>
    <w:p w14:paraId="1424B3E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7.5.内置单宽度插件槽（仅用于麻醉气体模块），可支持热插拔麻醉气体模块，无需关机重启，开机状态下即可更换，麻醉气体模块与监护仪和呼吸机均可互用节约成本</w:t>
      </w:r>
    </w:p>
    <w:p w14:paraId="5F163B5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单宽度气体模块采用旁路式气体监测：O2、N2O、呼末二氧化碳旁路监测功能及五种麻醉气体吸入和呼出浓度，氧浓度、MAC值监测功能；并描记CO2,N2O波形；MAC值计算及年龄校正；O2测量方式为顺磁氧测量技术，无耗材。</w:t>
      </w:r>
    </w:p>
    <w:p w14:paraId="72EE9E8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7.7配置单宽度气体模块可以升级支持近端流量监测（潮气量，气道压力，阻力），可同时监测肺力学和气体浓度，适用于新生儿等潮气量监测精度较高的麻醉通气。</w:t>
      </w:r>
    </w:p>
    <w:p w14:paraId="4745079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7.8.潮气量监测可提供两种监测数据来源（患者端和机器端）。</w:t>
      </w:r>
    </w:p>
    <w:p w14:paraId="3E414EF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7.9.智能报警限设置功能，可以根据手术参数运行情况智能给出报警限值参考，智能节约操作，提高效率。</w:t>
      </w:r>
    </w:p>
    <w:p w14:paraId="6A7F90D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7.10.具备新鲜气体用量实时显示和统计功能，可以在手术开始、手术过程中或手术结束后随时显示新鲜气体使用量。</w:t>
      </w:r>
    </w:p>
    <w:p w14:paraId="2C21E77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7.11.具备麻醉剂消耗计算功能，可显示麻醉剂消耗速度和消耗总量。</w:t>
      </w:r>
    </w:p>
    <w:p w14:paraId="7D25CE6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传感器</w:t>
      </w:r>
    </w:p>
    <w:p w14:paraId="2E6B59E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8.1.金属膜片或者金属热丝式流量传感器，金属传感器更能耐受高频次流量监测，流量传感器具备自加热功能（非回路整体加热），避免水汽凝结影响流量传感器监测精准。</w:t>
      </w:r>
    </w:p>
    <w:p w14:paraId="67648D5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具备吸入和呼出端双高精度流量传感器，并且吸入、呼出端传感器可互换位置。具备流量静态以及动态实时自动补偿功能，补偿新鲜气体变化、气体压缩、回路顺应性变化以及小的回路泄漏造成的吸入潮气量和设置潮气量的误差，保证流量自动实时补偿，流量补偿范围：200mL/min-15L/min；保证SIMV、PSV功能的实施。</w:t>
      </w:r>
    </w:p>
    <w:p w14:paraId="47F6E1C2">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8.3.金属膜片或者金属热丝式流量传感器可以134℃高温高压消毒，避免交叉感染。</w:t>
      </w:r>
    </w:p>
    <w:p w14:paraId="13483031">
      <w:pPr>
        <w:spacing w:line="360" w:lineRule="auto"/>
        <w:rPr>
          <w:rFonts w:hint="eastAsia" w:cs="仿宋_GB2312" w:asciiTheme="minorEastAsia" w:hAnsiTheme="minorEastAsia"/>
          <w:sz w:val="24"/>
        </w:rPr>
      </w:pPr>
    </w:p>
    <w:p w14:paraId="2149836C">
      <w:pPr>
        <w:spacing w:line="360" w:lineRule="auto"/>
        <w:rPr>
          <w:rFonts w:hint="eastAsia" w:cs="仿宋_GB2312" w:asciiTheme="minorEastAsia" w:hAnsiTheme="minorEastAsia"/>
          <w:sz w:val="24"/>
        </w:rPr>
      </w:pPr>
    </w:p>
    <w:p w14:paraId="66F9A63F">
      <w:pPr>
        <w:spacing w:line="360" w:lineRule="auto"/>
        <w:rPr>
          <w:rFonts w:hint="eastAsia" w:cs="仿宋_GB2312" w:asciiTheme="minorEastAsia" w:hAnsiTheme="minorEastAsia"/>
          <w:sz w:val="24"/>
        </w:rPr>
      </w:pPr>
    </w:p>
    <w:p w14:paraId="4A6C2894">
      <w:pPr>
        <w:spacing w:line="360" w:lineRule="auto"/>
        <w:rPr>
          <w:rFonts w:hint="eastAsia" w:cs="仿宋_GB2312" w:asciiTheme="minorEastAsia" w:hAnsiTheme="minorEastAsia"/>
          <w:sz w:val="24"/>
        </w:rPr>
      </w:pPr>
    </w:p>
    <w:p w14:paraId="4BF32C9E">
      <w:pPr>
        <w:spacing w:line="360" w:lineRule="auto"/>
        <w:rPr>
          <w:rFonts w:hint="eastAsia" w:cs="仿宋_GB2312" w:asciiTheme="minorEastAsia" w:hAnsiTheme="minorEastAsia"/>
          <w:sz w:val="24"/>
        </w:rPr>
      </w:pPr>
    </w:p>
    <w:p w14:paraId="29672CBE">
      <w:pPr>
        <w:spacing w:line="360" w:lineRule="auto"/>
        <w:rPr>
          <w:rFonts w:hint="eastAsia" w:cs="仿宋_GB2312" w:asciiTheme="minorEastAsia" w:hAnsiTheme="minorEastAsia"/>
          <w:sz w:val="24"/>
        </w:rPr>
      </w:pPr>
    </w:p>
    <w:p w14:paraId="2B9EF49B">
      <w:pPr>
        <w:spacing w:line="360" w:lineRule="auto"/>
        <w:rPr>
          <w:rFonts w:hint="eastAsia" w:cs="仿宋_GB2312" w:asciiTheme="minorEastAsia" w:hAnsiTheme="minorEastAsia"/>
          <w:sz w:val="24"/>
        </w:rPr>
      </w:pPr>
    </w:p>
    <w:p w14:paraId="7F7BD5A0">
      <w:pPr>
        <w:spacing w:line="360" w:lineRule="auto"/>
        <w:rPr>
          <w:rFonts w:hint="eastAsia" w:cs="仿宋_GB2312" w:asciiTheme="minorEastAsia" w:hAnsiTheme="minorEastAsia"/>
          <w:sz w:val="24"/>
        </w:rPr>
      </w:pPr>
    </w:p>
    <w:p w14:paraId="633C6167">
      <w:pPr>
        <w:spacing w:line="360" w:lineRule="auto"/>
        <w:rPr>
          <w:rFonts w:hint="eastAsia" w:cs="仿宋_GB2312" w:asciiTheme="minorEastAsia" w:hAnsiTheme="minorEastAsia"/>
          <w:sz w:val="24"/>
        </w:rPr>
      </w:pPr>
    </w:p>
    <w:p w14:paraId="06F2E43A">
      <w:pPr>
        <w:spacing w:line="360" w:lineRule="auto"/>
        <w:rPr>
          <w:rFonts w:hint="eastAsia" w:cs="仿宋_GB2312" w:asciiTheme="minorEastAsia" w:hAnsiTheme="minorEastAsia"/>
          <w:sz w:val="24"/>
        </w:rPr>
      </w:pPr>
    </w:p>
    <w:p w14:paraId="011E8C2A">
      <w:pPr>
        <w:spacing w:line="360" w:lineRule="auto"/>
        <w:rPr>
          <w:rFonts w:hint="eastAsia" w:cs="仿宋_GB2312" w:asciiTheme="minorEastAsia" w:hAnsiTheme="minorEastAsia"/>
          <w:sz w:val="24"/>
        </w:rPr>
      </w:pPr>
    </w:p>
    <w:p w14:paraId="26FB3A60">
      <w:pPr>
        <w:spacing w:line="360" w:lineRule="auto"/>
        <w:rPr>
          <w:rFonts w:hint="eastAsia" w:cs="仿宋_GB2312" w:asciiTheme="minorEastAsia" w:hAnsiTheme="minorEastAsia"/>
          <w:sz w:val="24"/>
        </w:rPr>
      </w:pPr>
    </w:p>
    <w:p w14:paraId="5648EF48">
      <w:pPr>
        <w:spacing w:line="360" w:lineRule="auto"/>
        <w:rPr>
          <w:rFonts w:hint="eastAsia" w:cs="仿宋_GB2312" w:asciiTheme="minorEastAsia" w:hAnsiTheme="minorEastAsia"/>
          <w:sz w:val="24"/>
        </w:rPr>
      </w:pPr>
    </w:p>
    <w:p w14:paraId="2904E3A7">
      <w:pPr>
        <w:spacing w:line="360" w:lineRule="auto"/>
        <w:rPr>
          <w:rFonts w:hint="eastAsia" w:cs="仿宋_GB2312" w:asciiTheme="minorEastAsia" w:hAnsiTheme="minorEastAsia"/>
          <w:sz w:val="24"/>
        </w:rPr>
      </w:pPr>
    </w:p>
    <w:p w14:paraId="4ADDB5A2">
      <w:pPr>
        <w:spacing w:line="360" w:lineRule="auto"/>
        <w:rPr>
          <w:rFonts w:hint="eastAsia" w:cs="仿宋_GB2312" w:asciiTheme="minorEastAsia" w:hAnsiTheme="minorEastAsia"/>
          <w:sz w:val="24"/>
        </w:rPr>
      </w:pPr>
    </w:p>
    <w:p w14:paraId="5F7F4183">
      <w:pPr>
        <w:spacing w:line="360" w:lineRule="auto"/>
        <w:rPr>
          <w:rFonts w:hint="eastAsia" w:cs="仿宋_GB2312" w:asciiTheme="minorEastAsia" w:hAnsiTheme="minorEastAsia"/>
          <w:sz w:val="24"/>
        </w:rPr>
      </w:pPr>
    </w:p>
    <w:p w14:paraId="3FCD2760">
      <w:pPr>
        <w:spacing w:line="360" w:lineRule="auto"/>
        <w:rPr>
          <w:rFonts w:hint="eastAsia" w:cs="仿宋_GB2312" w:asciiTheme="minorEastAsia" w:hAnsiTheme="min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C18"/>
    <w:rsid w:val="0004498A"/>
    <w:rsid w:val="00070DE4"/>
    <w:rsid w:val="00116EE0"/>
    <w:rsid w:val="001477B8"/>
    <w:rsid w:val="001E23C6"/>
    <w:rsid w:val="001E5C9B"/>
    <w:rsid w:val="001E7129"/>
    <w:rsid w:val="00236C18"/>
    <w:rsid w:val="00250D36"/>
    <w:rsid w:val="002C289A"/>
    <w:rsid w:val="00343672"/>
    <w:rsid w:val="003D0AB1"/>
    <w:rsid w:val="003F590A"/>
    <w:rsid w:val="004000F6"/>
    <w:rsid w:val="00402F99"/>
    <w:rsid w:val="00406A5A"/>
    <w:rsid w:val="0042463A"/>
    <w:rsid w:val="00426C67"/>
    <w:rsid w:val="00484CA2"/>
    <w:rsid w:val="004908A7"/>
    <w:rsid w:val="004A25DA"/>
    <w:rsid w:val="004A3A98"/>
    <w:rsid w:val="004D7A77"/>
    <w:rsid w:val="005031AF"/>
    <w:rsid w:val="00510B1D"/>
    <w:rsid w:val="00512BFC"/>
    <w:rsid w:val="00530D70"/>
    <w:rsid w:val="00534339"/>
    <w:rsid w:val="005A3AB4"/>
    <w:rsid w:val="005D271B"/>
    <w:rsid w:val="00677B04"/>
    <w:rsid w:val="006806AD"/>
    <w:rsid w:val="006D248E"/>
    <w:rsid w:val="006E36E2"/>
    <w:rsid w:val="0070669B"/>
    <w:rsid w:val="00710910"/>
    <w:rsid w:val="00715FA2"/>
    <w:rsid w:val="007466AD"/>
    <w:rsid w:val="00782DC7"/>
    <w:rsid w:val="007E7C1A"/>
    <w:rsid w:val="008232DE"/>
    <w:rsid w:val="00850745"/>
    <w:rsid w:val="00952A30"/>
    <w:rsid w:val="009F013F"/>
    <w:rsid w:val="00A81F0C"/>
    <w:rsid w:val="00AE2EF9"/>
    <w:rsid w:val="00B414CA"/>
    <w:rsid w:val="00B517A8"/>
    <w:rsid w:val="00BA513A"/>
    <w:rsid w:val="00BA5C82"/>
    <w:rsid w:val="00BD7692"/>
    <w:rsid w:val="00C3337E"/>
    <w:rsid w:val="00C508A8"/>
    <w:rsid w:val="00D61FCB"/>
    <w:rsid w:val="00D67224"/>
    <w:rsid w:val="00DF7B7C"/>
    <w:rsid w:val="00E144E7"/>
    <w:rsid w:val="00E4321D"/>
    <w:rsid w:val="00E66BF2"/>
    <w:rsid w:val="00E761E7"/>
    <w:rsid w:val="00E81972"/>
    <w:rsid w:val="00EF692D"/>
    <w:rsid w:val="00F15B20"/>
    <w:rsid w:val="00F816E4"/>
    <w:rsid w:val="00F82ECE"/>
    <w:rsid w:val="00F91F1F"/>
    <w:rsid w:val="00FA403B"/>
    <w:rsid w:val="00FB4FC4"/>
    <w:rsid w:val="3383001E"/>
    <w:rsid w:val="782F3EBE"/>
    <w:rsid w:val="7CFC7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0" w:name="heading 2"/>
    <w:lsdException w:uiPriority="0" w:name="heading 3"/>
    <w:lsdException w:uiPriority="0" w:name="heading 4"/>
    <w:lsdException w:qFormat="1" w:uiPriority="9" w:semiHidden="0" w:name="heading 5"/>
    <w:lsdException w:qFormat="1" w:uiPriority="9" w:semiHidden="0" w:name="heading 6"/>
    <w:lsdException w:uiPriority="0" w:name="heading 7"/>
    <w:lsdException w:uiPriority="0" w:name="heading 8"/>
    <w:lsdException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link w:val="16"/>
    <w:semiHidden/>
    <w:unhideWhenUsed/>
    <w:qFormat/>
    <w:uiPriority w:val="0"/>
    <w:pPr>
      <w:keepNext/>
      <w:keepLines/>
      <w:spacing w:before="40"/>
      <w:outlineLvl w:val="1"/>
    </w:pPr>
    <w:rPr>
      <w:rFonts w:asciiTheme="majorHAnsi" w:hAnsiTheme="majorHAnsi" w:eastAsiaTheme="majorEastAsia" w:cstheme="majorBidi"/>
      <w:color w:val="2E54A1" w:themeColor="accent1" w:themeShade="BF"/>
      <w:sz w:val="26"/>
      <w:szCs w:val="26"/>
    </w:rPr>
  </w:style>
  <w:style w:type="paragraph" w:styleId="3">
    <w:name w:val="heading 5"/>
    <w:basedOn w:val="1"/>
    <w:link w:val="14"/>
    <w:unhideWhenUsed/>
    <w:qFormat/>
    <w:uiPriority w:val="9"/>
    <w:pPr>
      <w:keepNext/>
      <w:keepLines/>
      <w:widowControl/>
      <w:spacing w:before="280" w:after="290" w:line="376" w:lineRule="auto"/>
      <w:jc w:val="left"/>
      <w:outlineLvl w:val="4"/>
    </w:pPr>
    <w:rPr>
      <w:b/>
      <w:bCs/>
      <w:sz w:val="28"/>
      <w:szCs w:val="28"/>
    </w:rPr>
  </w:style>
  <w:style w:type="paragraph" w:styleId="4">
    <w:name w:val="heading 6"/>
    <w:basedOn w:val="1"/>
    <w:link w:val="15"/>
    <w:unhideWhenUsed/>
    <w:qFormat/>
    <w:uiPriority w:val="9"/>
    <w:pPr>
      <w:keepNext/>
      <w:keepLines/>
      <w:widowControl/>
      <w:spacing w:before="240" w:after="64" w:line="320" w:lineRule="auto"/>
      <w:jc w:val="left"/>
      <w:outlineLvl w:val="5"/>
    </w:pPr>
    <w:rPr>
      <w:rFonts w:asciiTheme="majorHAnsi" w:hAnsiTheme="majorHAnsi" w:eastAsiaTheme="majorEastAsia" w:cstheme="majorBidi"/>
      <w:b/>
      <w:bCs/>
      <w:sz w:val="2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ody Text Indent"/>
    <w:basedOn w:val="1"/>
    <w:link w:val="12"/>
    <w:uiPriority w:val="0"/>
    <w:pPr>
      <w:spacing w:line="360" w:lineRule="auto"/>
      <w:ind w:left="720" w:hanging="720" w:hangingChars="300"/>
    </w:pPr>
    <w:rPr>
      <w:rFonts w:ascii="Times New Roman" w:hAnsi="Times New Roman" w:eastAsia="宋体" w:cs="Times New Roman"/>
      <w:sz w:val="24"/>
      <w:szCs w:val="20"/>
    </w:rPr>
  </w:style>
  <w:style w:type="paragraph" w:styleId="6">
    <w:name w:val="Date"/>
    <w:basedOn w:val="1"/>
    <w:link w:val="13"/>
    <w:uiPriority w:val="0"/>
    <w:rPr>
      <w:rFonts w:ascii="Times New Roman" w:hAnsi="Times New Roman" w:eastAsia="宋体" w:cs="Times New Roman"/>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tabs>
        <w:tab w:val="center" w:pos="4153"/>
        <w:tab w:val="right" w:pos="8306"/>
      </w:tabs>
      <w:snapToGrid w:val="0"/>
      <w:jc w:val="center"/>
    </w:pPr>
    <w:rPr>
      <w:sz w:val="18"/>
      <w:szCs w:val="18"/>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字符"/>
    <w:basedOn w:val="11"/>
    <w:link w:val="5"/>
    <w:qFormat/>
    <w:uiPriority w:val="0"/>
    <w:rPr>
      <w:rFonts w:ascii="Times New Roman" w:hAnsi="Times New Roman" w:eastAsia="宋体" w:cs="Times New Roman"/>
      <w:kern w:val="2"/>
      <w:sz w:val="24"/>
    </w:rPr>
  </w:style>
  <w:style w:type="character" w:customStyle="1" w:styleId="13">
    <w:name w:val="日期 字符"/>
    <w:basedOn w:val="11"/>
    <w:link w:val="6"/>
    <w:qFormat/>
    <w:uiPriority w:val="0"/>
    <w:rPr>
      <w:rFonts w:ascii="Times New Roman" w:hAnsi="Times New Roman" w:eastAsia="宋体" w:cs="Times New Roman"/>
      <w:kern w:val="2"/>
      <w:sz w:val="21"/>
    </w:rPr>
  </w:style>
  <w:style w:type="character" w:customStyle="1" w:styleId="14">
    <w:name w:val="标题 5 字符"/>
    <w:basedOn w:val="11"/>
    <w:link w:val="3"/>
    <w:qFormat/>
    <w:uiPriority w:val="9"/>
    <w:rPr>
      <w:b/>
      <w:bCs/>
      <w:kern w:val="2"/>
      <w:sz w:val="28"/>
      <w:szCs w:val="28"/>
    </w:rPr>
  </w:style>
  <w:style w:type="character" w:customStyle="1" w:styleId="15">
    <w:name w:val="标题 6 字符"/>
    <w:basedOn w:val="11"/>
    <w:link w:val="4"/>
    <w:qFormat/>
    <w:uiPriority w:val="9"/>
    <w:rPr>
      <w:rFonts w:asciiTheme="majorHAnsi" w:hAnsiTheme="majorHAnsi" w:eastAsiaTheme="majorEastAsia" w:cstheme="majorBidi"/>
      <w:b/>
      <w:bCs/>
      <w:kern w:val="2"/>
      <w:sz w:val="24"/>
      <w:szCs w:val="24"/>
    </w:rPr>
  </w:style>
  <w:style w:type="character" w:customStyle="1" w:styleId="16">
    <w:name w:val="标题 2 字符"/>
    <w:basedOn w:val="11"/>
    <w:link w:val="2"/>
    <w:semiHidden/>
    <w:qFormat/>
    <w:uiPriority w:val="0"/>
    <w:rPr>
      <w:rFonts w:asciiTheme="majorHAnsi" w:hAnsiTheme="majorHAnsi" w:eastAsiaTheme="majorEastAsia" w:cstheme="majorBidi"/>
      <w:color w:val="2E54A1" w:themeColor="accent1" w:themeShade="BF"/>
      <w:kern w:val="2"/>
      <w:sz w:val="26"/>
      <w:szCs w:val="26"/>
    </w:rPr>
  </w:style>
  <w:style w:type="character" w:customStyle="1" w:styleId="17">
    <w:name w:val="页眉 字符"/>
    <w:basedOn w:val="11"/>
    <w:link w:val="8"/>
    <w:qFormat/>
    <w:uiPriority w:val="0"/>
    <w:rPr>
      <w:kern w:val="2"/>
      <w:sz w:val="18"/>
      <w:szCs w:val="18"/>
    </w:rPr>
  </w:style>
  <w:style w:type="character" w:customStyle="1" w:styleId="18">
    <w:name w:val="页脚 字符"/>
    <w:basedOn w:val="11"/>
    <w:link w:val="7"/>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2995</Words>
  <Characters>3552</Characters>
  <Lines>29</Lines>
  <Paragraphs>8</Paragraphs>
  <TotalTime>211</TotalTime>
  <ScaleCrop>false</ScaleCrop>
  <LinksUpToDate>false</LinksUpToDate>
  <CharactersWithSpaces>3560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2025-04-22T13:25:00Z</dcterms:created>
  <dc:creator>Administrator</dc:creator>
  <cp:lastModifiedBy>何丽明</cp:lastModifiedBy>
  <dcterms:modified xsi:type="dcterms:W3CDTF">2026-09-10T06:45:21Z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eyJoZGlkIjoiNjJkNzA1MTZmZDhhMjllNzFhNTUwYjQ3ODAxMTM4YTQiLCJ1c2VySWQiOiIxNzgzNDA4NDI2In0=</vt:lpwstr>
  </property>
  <property fmtid="{D5CDD505-2E9C-101B-9397-08002B2CF9AE}" pid="4" name="ICV">
    <vt:lpwstr>3DCED64479F74EF0AA53EA2F41BC8BE2_12</vt:lpwstr>
  </property>
</Properties>
</file>