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E925C">
      <w:pPr>
        <w:autoSpaceDE w:val="0"/>
        <w:autoSpaceDN w:val="0"/>
        <w:adjustRightInd w:val="0"/>
        <w:spacing w:line="360" w:lineRule="auto"/>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监护仪基础参数</w:t>
      </w:r>
    </w:p>
    <w:p w14:paraId="118DE698">
      <w:pPr>
        <w:autoSpaceDE w:val="0"/>
        <w:autoSpaceDN w:val="0"/>
        <w:adjustRightInd w:val="0"/>
        <w:spacing w:line="360" w:lineRule="auto"/>
        <w:rPr>
          <w:rFonts w:ascii="宋体" w:hAnsi="宋体" w:cs="宋体"/>
          <w:b/>
          <w:sz w:val="24"/>
          <w:szCs w:val="24"/>
        </w:rPr>
      </w:pPr>
      <w:r>
        <w:rPr>
          <w:rFonts w:hint="eastAsia" w:ascii="宋体" w:hAnsi="宋体" w:cs="宋体"/>
          <w:b/>
          <w:sz w:val="24"/>
          <w:szCs w:val="24"/>
        </w:rPr>
        <w:t>监护仪结构：</w:t>
      </w:r>
    </w:p>
    <w:p w14:paraId="58C62EC1">
      <w:pPr>
        <w:widowControl w:val="0"/>
        <w:numPr>
          <w:ilvl w:val="0"/>
          <w:numId w:val="1"/>
        </w:numPr>
        <w:autoSpaceDE w:val="0"/>
        <w:autoSpaceDN w:val="0"/>
        <w:adjustRightInd w:val="0"/>
        <w:spacing w:after="0" w:line="360" w:lineRule="auto"/>
        <w:rPr>
          <w:rFonts w:ascii="宋体" w:hAnsi="宋体" w:cs="宋体"/>
          <w:sz w:val="24"/>
          <w:szCs w:val="24"/>
        </w:rPr>
      </w:pPr>
      <w:r>
        <w:rPr>
          <w:rFonts w:hint="eastAsia" w:ascii="宋体" w:hAnsi="宋体"/>
          <w:sz w:val="24"/>
          <w:szCs w:val="24"/>
        </w:rPr>
        <w:t>模块化插件式床边监护仪，主机、显示屏和插件槽一体化设计，主机插槽数≥5个</w:t>
      </w:r>
    </w:p>
    <w:p w14:paraId="06582F24">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≥1</w:t>
      </w:r>
      <w:r>
        <w:rPr>
          <w:rFonts w:hint="eastAsia" w:ascii="宋体" w:hAnsi="宋体"/>
          <w:sz w:val="24"/>
          <w:szCs w:val="24"/>
          <w:lang w:val="en-US" w:eastAsia="zh-CN"/>
        </w:rPr>
        <w:t>2</w:t>
      </w:r>
      <w:r>
        <w:rPr>
          <w:rFonts w:hint="eastAsia" w:ascii="宋体" w:hAnsi="宋体"/>
          <w:sz w:val="24"/>
          <w:szCs w:val="24"/>
        </w:rPr>
        <w:t>英寸彩色触摸屏，高分辨率达1920*1080像素，8通道显示，</w:t>
      </w:r>
      <w:r>
        <w:rPr>
          <w:rFonts w:ascii="宋体" w:hAnsi="宋体"/>
          <w:sz w:val="24"/>
          <w:szCs w:val="24"/>
        </w:rPr>
        <w:t>显示屏亮度自动调节</w:t>
      </w:r>
    </w:p>
    <w:p w14:paraId="7580EC1D">
      <w:pPr>
        <w:widowControl w:val="0"/>
        <w:numPr>
          <w:ilvl w:val="0"/>
          <w:numId w:val="1"/>
        </w:numPr>
        <w:autoSpaceDE w:val="0"/>
        <w:autoSpaceDN w:val="0"/>
        <w:adjustRightInd w:val="0"/>
        <w:spacing w:after="0" w:line="360" w:lineRule="auto"/>
        <w:rPr>
          <w:rFonts w:ascii="宋体" w:hAnsi="宋体"/>
          <w:sz w:val="24"/>
          <w:szCs w:val="24"/>
        </w:rPr>
      </w:pPr>
      <w:r>
        <w:rPr>
          <w:rFonts w:ascii="宋体" w:hAnsi="宋体"/>
          <w:sz w:val="24"/>
          <w:szCs w:val="24"/>
        </w:rPr>
        <w:t>工作海拔高度</w:t>
      </w:r>
      <w:r>
        <w:rPr>
          <w:rFonts w:hint="eastAsia" w:ascii="宋体" w:hAnsi="宋体"/>
          <w:sz w:val="24"/>
          <w:szCs w:val="24"/>
        </w:rPr>
        <w:t>≥4550米，满足高原地区</w:t>
      </w:r>
    </w:p>
    <w:p w14:paraId="5FEF69F5">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采用无风扇设计</w:t>
      </w:r>
      <w:bookmarkStart w:id="0" w:name="_GoBack"/>
      <w:bookmarkEnd w:id="0"/>
    </w:p>
    <w:p w14:paraId="65573B37">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内置高能锂电池，供电时间≥2小时</w:t>
      </w:r>
    </w:p>
    <w:p w14:paraId="5B88DD42">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配置≥4个USB接口，支持连接存储介质、鼠标、键盘、条码扫描枪等USB设备</w:t>
      </w:r>
    </w:p>
    <w:p w14:paraId="3591F486">
      <w:pPr>
        <w:autoSpaceDE w:val="0"/>
        <w:autoSpaceDN w:val="0"/>
        <w:adjustRightInd w:val="0"/>
        <w:spacing w:line="360" w:lineRule="auto"/>
        <w:rPr>
          <w:rFonts w:ascii="宋体" w:hAnsi="宋体" w:cs="宋体"/>
          <w:b/>
          <w:sz w:val="24"/>
          <w:szCs w:val="24"/>
        </w:rPr>
      </w:pPr>
      <w:r>
        <w:rPr>
          <w:rFonts w:hint="eastAsia" w:ascii="宋体" w:hAnsi="宋体" w:cs="宋体"/>
          <w:b/>
          <w:sz w:val="24"/>
          <w:szCs w:val="24"/>
        </w:rPr>
        <w:t>监测参数：</w:t>
      </w:r>
    </w:p>
    <w:p w14:paraId="6501826F">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基本功能模块支持心电，呼吸，心率，无创血压，血氧饱和度，脉搏，双通道体温和双通道有创血压的同时监测</w:t>
      </w:r>
    </w:p>
    <w:p w14:paraId="5C160185">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基本功能模块支持升级从监护仪拔出后作为一个独立的监护仪支持病人的无缝转移，具有显示屏，屏幕尺寸≥5英寸，内置锂电池供电≥4小时，无风扇设计</w:t>
      </w:r>
    </w:p>
    <w:p w14:paraId="3CC4AEDF">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支持3/5导心电监测</w:t>
      </w:r>
      <w:r>
        <w:rPr>
          <w:rFonts w:ascii="宋体" w:hAnsi="宋体"/>
          <w:sz w:val="24"/>
          <w:szCs w:val="24"/>
        </w:rPr>
        <w:t xml:space="preserve"> </w:t>
      </w:r>
    </w:p>
    <w:p w14:paraId="577E9BEA">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支持房颤心律失常分析功能，标配支持≥20种实时心律失常分析</w:t>
      </w:r>
    </w:p>
    <w:p w14:paraId="2469FF8D">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支持≥4通道心电进行多导心电分析</w:t>
      </w:r>
    </w:p>
    <w:p w14:paraId="34A943CC">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提供ST段分析功能，适用于成人，小儿和新生儿，</w:t>
      </w:r>
      <w:r>
        <w:rPr>
          <w:rFonts w:hint="eastAsia" w:ascii="宋体" w:hAnsi="宋体"/>
          <w:color w:val="000000"/>
          <w:sz w:val="24"/>
          <w:szCs w:val="24"/>
        </w:rPr>
        <w:t>支持在专门的窗口中分组显示心脏前壁，下壁和侧壁的ST实时片段和参考片段</w:t>
      </w:r>
      <w:r>
        <w:rPr>
          <w:rFonts w:hint="eastAsia" w:ascii="宋体" w:hAnsi="宋体"/>
          <w:sz w:val="24"/>
          <w:szCs w:val="24"/>
        </w:rPr>
        <w:t xml:space="preserve"> </w:t>
      </w:r>
    </w:p>
    <w:p w14:paraId="4B7789A3">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color w:val="000000"/>
          <w:sz w:val="24"/>
          <w:szCs w:val="24"/>
        </w:rPr>
        <w:t>支持RR呼吸率测量，测量范围：</w:t>
      </w:r>
      <w:r>
        <w:rPr>
          <w:rFonts w:ascii="宋体" w:hAnsi="宋体"/>
          <w:color w:val="000000"/>
          <w:sz w:val="24"/>
          <w:szCs w:val="24"/>
        </w:rPr>
        <w:t>0~200rpm</w:t>
      </w:r>
    </w:p>
    <w:p w14:paraId="17E0F9EE">
      <w:pPr>
        <w:widowControl w:val="0"/>
        <w:numPr>
          <w:ilvl w:val="0"/>
          <w:numId w:val="1"/>
        </w:numPr>
        <w:autoSpaceDE w:val="0"/>
        <w:autoSpaceDN w:val="0"/>
        <w:adjustRightInd w:val="0"/>
        <w:spacing w:after="0" w:line="360" w:lineRule="auto"/>
        <w:rPr>
          <w:rFonts w:ascii="宋体" w:hAnsi="宋体"/>
          <w:sz w:val="24"/>
          <w:szCs w:val="24"/>
        </w:rPr>
      </w:pPr>
      <w:r>
        <w:rPr>
          <w:rFonts w:ascii="宋体" w:hAnsi="宋体"/>
          <w:sz w:val="24"/>
          <w:szCs w:val="24"/>
        </w:rPr>
        <w:t>具有</w:t>
      </w:r>
      <w:r>
        <w:rPr>
          <w:rFonts w:hint="eastAsia" w:ascii="宋体" w:hAnsi="宋体"/>
          <w:sz w:val="24"/>
          <w:szCs w:val="24"/>
        </w:rPr>
        <w:t>QT/QTc实时连续测量功能，提供QT，QTc和ΔQTc参数值的显示</w:t>
      </w:r>
    </w:p>
    <w:p w14:paraId="75D24B26">
      <w:pPr>
        <w:widowControl w:val="0"/>
        <w:numPr>
          <w:ilvl w:val="0"/>
          <w:numId w:val="1"/>
        </w:numPr>
        <w:autoSpaceDE w:val="0"/>
        <w:autoSpaceDN w:val="0"/>
        <w:adjustRightInd w:val="0"/>
        <w:spacing w:after="0" w:line="360" w:lineRule="auto"/>
        <w:rPr>
          <w:rFonts w:hint="eastAsia" w:ascii="宋体" w:hAnsi="宋体"/>
          <w:sz w:val="24"/>
          <w:szCs w:val="24"/>
        </w:rPr>
      </w:pPr>
      <w:r>
        <w:rPr>
          <w:rFonts w:hint="eastAsia" w:ascii="宋体" w:hAnsi="宋体"/>
          <w:sz w:val="24"/>
          <w:szCs w:val="24"/>
        </w:rPr>
        <w:t>无创血压</w:t>
      </w:r>
      <w:r>
        <w:rPr>
          <w:rFonts w:ascii="宋体" w:hAnsi="宋体"/>
          <w:sz w:val="24"/>
          <w:szCs w:val="24"/>
        </w:rPr>
        <w:t>提供手动、自动间隔、连续</w:t>
      </w:r>
      <w:r>
        <w:rPr>
          <w:rFonts w:hint="eastAsia" w:ascii="宋体" w:hAnsi="宋体"/>
          <w:sz w:val="24"/>
          <w:szCs w:val="24"/>
        </w:rPr>
        <w:t>、</w:t>
      </w:r>
      <w:r>
        <w:rPr>
          <w:rFonts w:ascii="宋体" w:hAnsi="宋体"/>
          <w:sz w:val="24"/>
          <w:szCs w:val="24"/>
        </w:rPr>
        <w:t>序列</w:t>
      </w:r>
      <w:r>
        <w:rPr>
          <w:rFonts w:hint="eastAsia" w:ascii="宋体" w:hAnsi="宋体"/>
          <w:sz w:val="24"/>
          <w:szCs w:val="24"/>
        </w:rPr>
        <w:t>四</w:t>
      </w:r>
      <w:r>
        <w:rPr>
          <w:rFonts w:ascii="宋体" w:hAnsi="宋体"/>
          <w:sz w:val="24"/>
          <w:szCs w:val="24"/>
        </w:rPr>
        <w:t>种测量模式</w:t>
      </w:r>
    </w:p>
    <w:p w14:paraId="67D7590D">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无创血压适用于成人，小儿和新生儿</w:t>
      </w:r>
    </w:p>
    <w:p w14:paraId="3EBDB00A">
      <w:pPr>
        <w:widowControl w:val="0"/>
        <w:numPr>
          <w:ilvl w:val="0"/>
          <w:numId w:val="1"/>
        </w:numPr>
        <w:tabs>
          <w:tab w:val="clear" w:pos="704"/>
        </w:tabs>
        <w:autoSpaceDE w:val="0"/>
        <w:autoSpaceDN w:val="0"/>
        <w:adjustRightInd w:val="0"/>
        <w:spacing w:after="0" w:line="360" w:lineRule="auto"/>
        <w:rPr>
          <w:rFonts w:ascii="宋体" w:hAnsi="宋体"/>
          <w:sz w:val="24"/>
          <w:szCs w:val="24"/>
        </w:rPr>
      </w:pPr>
      <w:r>
        <w:rPr>
          <w:rFonts w:ascii="宋体" w:hAnsi="宋体"/>
          <w:color w:val="000000"/>
          <w:sz w:val="24"/>
          <w:szCs w:val="24"/>
        </w:rPr>
        <w:t xml:space="preserve">NIBP </w:t>
      </w:r>
      <w:r>
        <w:rPr>
          <w:rFonts w:hint="eastAsia" w:ascii="宋体" w:hAnsi="宋体"/>
          <w:color w:val="000000"/>
          <w:sz w:val="24"/>
          <w:szCs w:val="24"/>
        </w:rPr>
        <w:t>成人病人类型收缩压测量范围：</w:t>
      </w:r>
      <w:r>
        <w:rPr>
          <w:rFonts w:ascii="宋体" w:hAnsi="宋体"/>
          <w:color w:val="000000"/>
          <w:sz w:val="24"/>
          <w:szCs w:val="24"/>
        </w:rPr>
        <w:t>25~290mmHg</w:t>
      </w:r>
      <w:r>
        <w:rPr>
          <w:rFonts w:hint="eastAsia" w:ascii="宋体" w:hAnsi="宋体"/>
          <w:color w:val="000000"/>
          <w:sz w:val="24"/>
          <w:szCs w:val="24"/>
        </w:rPr>
        <w:t>，舒张压测量范围：10~250mmHg，平均压测量范围：15~260mmHg</w:t>
      </w:r>
    </w:p>
    <w:p w14:paraId="6152898B">
      <w:pPr>
        <w:widowControl w:val="0"/>
        <w:numPr>
          <w:ilvl w:val="0"/>
          <w:numId w:val="1"/>
        </w:numPr>
        <w:autoSpaceDE w:val="0"/>
        <w:autoSpaceDN w:val="0"/>
        <w:adjustRightInd w:val="0"/>
        <w:spacing w:after="0" w:line="360" w:lineRule="auto"/>
        <w:rPr>
          <w:rFonts w:hint="eastAsia" w:ascii="宋体" w:hAnsi="宋体"/>
          <w:sz w:val="24"/>
          <w:szCs w:val="24"/>
        </w:rPr>
      </w:pPr>
      <w:r>
        <w:rPr>
          <w:rFonts w:hint="eastAsia" w:ascii="宋体" w:hAnsi="宋体"/>
          <w:sz w:val="24"/>
          <w:szCs w:val="24"/>
        </w:rPr>
        <w:t>血氧监测适用于成人，小儿和新生儿</w:t>
      </w:r>
    </w:p>
    <w:p w14:paraId="5DD9EEFE">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提供灌注指数（PI）的监测</w:t>
      </w:r>
    </w:p>
    <w:p w14:paraId="4014C377">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配置指套式血氧探头，支持浸泡清洁与消毒，防水等级IPx7</w:t>
      </w:r>
    </w:p>
    <w:p w14:paraId="3F86C7F9">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支持双通道有创压IBP监测，支持升级多达4通道有创压监测</w:t>
      </w:r>
    </w:p>
    <w:p w14:paraId="7B14BE63">
      <w:pPr>
        <w:widowControl w:val="0"/>
        <w:numPr>
          <w:ilvl w:val="0"/>
          <w:numId w:val="1"/>
        </w:numPr>
        <w:autoSpaceDE w:val="0"/>
        <w:autoSpaceDN w:val="0"/>
        <w:adjustRightInd w:val="0"/>
        <w:spacing w:after="0" w:line="360" w:lineRule="auto"/>
        <w:rPr>
          <w:rFonts w:ascii="宋体" w:hAnsi="宋体"/>
          <w:sz w:val="24"/>
          <w:szCs w:val="24"/>
        </w:rPr>
      </w:pPr>
      <w:r>
        <w:rPr>
          <w:rFonts w:ascii="宋体" w:hAnsi="宋体"/>
          <w:color w:val="000000"/>
          <w:sz w:val="24"/>
          <w:szCs w:val="24"/>
        </w:rPr>
        <w:t>IBP</w:t>
      </w:r>
      <w:r>
        <w:rPr>
          <w:rFonts w:hint="eastAsia" w:ascii="宋体" w:hAnsi="宋体"/>
          <w:color w:val="000000"/>
          <w:sz w:val="24"/>
          <w:szCs w:val="24"/>
        </w:rPr>
        <w:t>有创压测量范围：</w:t>
      </w:r>
      <w:r>
        <w:rPr>
          <w:rFonts w:ascii="宋体" w:hAnsi="宋体"/>
          <w:color w:val="000000"/>
          <w:sz w:val="24"/>
          <w:szCs w:val="24"/>
        </w:rPr>
        <w:t>-50~360mmHg</w:t>
      </w:r>
    </w:p>
    <w:p w14:paraId="4E4B5C37">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提供肺动脉锲压（PAWP）的监测和PPV参数监测</w:t>
      </w:r>
      <w:r>
        <w:rPr>
          <w:rFonts w:ascii="宋体" w:hAnsi="宋体"/>
          <w:sz w:val="24"/>
          <w:szCs w:val="24"/>
        </w:rPr>
        <w:t xml:space="preserve"> </w:t>
      </w:r>
    </w:p>
    <w:p w14:paraId="53D2B138">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支持多达4道IBP波形叠加显示，满足临床对比查看和节约显示空间的需求</w:t>
      </w:r>
    </w:p>
    <w:p w14:paraId="050DF144">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支持升级EtCO2监测模块，采用旁流技术，支持升级顺磁氧监测技术进行氧气监测，水槽要求易用快速更换</w:t>
      </w:r>
    </w:p>
    <w:p w14:paraId="1209AD83">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lang w:eastAsia="zh-CN"/>
        </w:rPr>
        <w:t>支持升级</w:t>
      </w:r>
      <w:r>
        <w:rPr>
          <w:rFonts w:hint="eastAsia" w:ascii="宋体" w:hAnsi="宋体"/>
          <w:sz w:val="24"/>
          <w:szCs w:val="24"/>
          <w:lang w:val="en-US" w:eastAsia="zh-CN"/>
        </w:rPr>
        <w:t>血流动力学监测模块，采用微创连续监测技术，无需肺动脉导管，通过中心静脉导管及大动脉导管进行监测</w:t>
      </w:r>
    </w:p>
    <w:p w14:paraId="17F1FC82">
      <w:pPr>
        <w:widowControl w:val="0"/>
        <w:numPr>
          <w:ilvl w:val="0"/>
          <w:numId w:val="1"/>
        </w:numPr>
        <w:autoSpaceDE w:val="0"/>
        <w:autoSpaceDN w:val="0"/>
        <w:adjustRightInd w:val="0"/>
        <w:spacing w:after="0" w:line="360" w:lineRule="auto"/>
        <w:rPr>
          <w:rFonts w:ascii="宋体" w:hAnsi="宋体"/>
          <w:sz w:val="24"/>
          <w:szCs w:val="24"/>
        </w:rPr>
      </w:pPr>
      <w:r>
        <w:rPr>
          <w:rFonts w:hint="eastAsia" w:ascii="宋体" w:hAnsi="宋体"/>
          <w:sz w:val="24"/>
          <w:szCs w:val="24"/>
        </w:rPr>
        <w:t>支持升级模块，进行BIS，NMT参数监测，并通过三类注册</w:t>
      </w:r>
    </w:p>
    <w:p w14:paraId="4B198CFC">
      <w:pPr>
        <w:pStyle w:val="11"/>
        <w:widowControl w:val="0"/>
        <w:numPr>
          <w:ilvl w:val="0"/>
          <w:numId w:val="1"/>
        </w:numPr>
        <w:autoSpaceDE w:val="0"/>
        <w:autoSpaceDN w:val="0"/>
        <w:adjustRightInd w:val="0"/>
        <w:spacing w:line="360" w:lineRule="auto"/>
        <w:ind w:firstLineChars="0"/>
        <w:rPr>
          <w:rFonts w:ascii="宋体" w:hAnsi="宋体" w:eastAsia="宋体"/>
          <w:color w:val="000000"/>
        </w:rPr>
      </w:pPr>
      <w:r>
        <w:rPr>
          <w:rFonts w:hint="eastAsia" w:ascii="宋体" w:hAnsi="宋体" w:eastAsia="宋体"/>
          <w:color w:val="000000"/>
        </w:rPr>
        <w:t>支持升级模块，与主流呼吸机品牌的呼吸机相连，实现呼吸机设备的信息在监护仪上显示、存储、记录、打印或者用于参与计算。</w:t>
      </w:r>
    </w:p>
    <w:p w14:paraId="050C86D1">
      <w:pPr>
        <w:spacing w:line="360" w:lineRule="auto"/>
        <w:ind w:right="-512" w:rightChars="-244"/>
        <w:rPr>
          <w:rFonts w:ascii="宋体" w:hAnsi="宋体"/>
          <w:b/>
          <w:sz w:val="24"/>
          <w:szCs w:val="24"/>
        </w:rPr>
      </w:pPr>
      <w:r>
        <w:rPr>
          <w:rFonts w:hint="eastAsia" w:ascii="宋体" w:hAnsi="宋体"/>
          <w:b/>
          <w:sz w:val="24"/>
          <w:szCs w:val="24"/>
        </w:rPr>
        <w:t>系统功能：</w:t>
      </w:r>
    </w:p>
    <w:p w14:paraId="0B904E0A">
      <w:pPr>
        <w:widowControl w:val="0"/>
        <w:numPr>
          <w:ilvl w:val="0"/>
          <w:numId w:val="1"/>
        </w:numPr>
        <w:spacing w:after="0" w:line="360" w:lineRule="auto"/>
        <w:jc w:val="both"/>
        <w:rPr>
          <w:rFonts w:ascii="宋体" w:hAnsi="宋体"/>
          <w:color w:val="000000"/>
          <w:sz w:val="24"/>
          <w:szCs w:val="24"/>
        </w:rPr>
      </w:pPr>
      <w:r>
        <w:rPr>
          <w:rFonts w:ascii="宋体" w:hAnsi="宋体"/>
          <w:sz w:val="24"/>
          <w:szCs w:val="24"/>
        </w:rPr>
        <w:t>具有图形化报警指示功能，看报警信息更容易</w:t>
      </w:r>
    </w:p>
    <w:p w14:paraId="3E58BB60">
      <w:pPr>
        <w:widowControl w:val="0"/>
        <w:numPr>
          <w:ilvl w:val="0"/>
          <w:numId w:val="1"/>
        </w:numPr>
        <w:spacing w:after="0" w:line="360" w:lineRule="auto"/>
        <w:jc w:val="both"/>
        <w:rPr>
          <w:rFonts w:ascii="宋体" w:hAnsi="宋体"/>
          <w:color w:val="000000"/>
          <w:sz w:val="24"/>
          <w:szCs w:val="24"/>
        </w:rPr>
      </w:pPr>
      <w:r>
        <w:rPr>
          <w:rFonts w:hint="eastAsia" w:ascii="宋体" w:hAnsi="宋体"/>
          <w:color w:val="000000"/>
          <w:sz w:val="24"/>
          <w:szCs w:val="24"/>
        </w:rPr>
        <w:t>标配具备血液动力学，药物计算，氧合计算，通气计算和肾功能计算功能</w:t>
      </w:r>
    </w:p>
    <w:p w14:paraId="53EA4AE0">
      <w:pPr>
        <w:widowControl w:val="0"/>
        <w:numPr>
          <w:ilvl w:val="0"/>
          <w:numId w:val="1"/>
        </w:numPr>
        <w:spacing w:after="0" w:line="360" w:lineRule="auto"/>
        <w:jc w:val="both"/>
        <w:rPr>
          <w:rFonts w:ascii="宋体" w:hAnsi="宋体"/>
          <w:color w:val="000000"/>
          <w:sz w:val="24"/>
          <w:szCs w:val="24"/>
        </w:rPr>
      </w:pPr>
      <w:r>
        <w:rPr>
          <w:rFonts w:hint="eastAsia" w:ascii="宋体" w:hAnsi="宋体"/>
          <w:sz w:val="24"/>
          <w:szCs w:val="24"/>
        </w:rPr>
        <w:t>≥120小时（分辨率1分钟）趋势表、趋势图回顾</w:t>
      </w:r>
    </w:p>
    <w:p w14:paraId="48D92151">
      <w:pPr>
        <w:widowControl w:val="0"/>
        <w:numPr>
          <w:ilvl w:val="0"/>
          <w:numId w:val="1"/>
        </w:numPr>
        <w:spacing w:after="0" w:line="360" w:lineRule="auto"/>
        <w:jc w:val="both"/>
        <w:rPr>
          <w:rFonts w:ascii="宋体" w:hAnsi="宋体"/>
          <w:color w:val="000000"/>
          <w:sz w:val="24"/>
          <w:szCs w:val="24"/>
        </w:rPr>
      </w:pPr>
      <w:r>
        <w:rPr>
          <w:rFonts w:hint="eastAsia" w:ascii="宋体" w:hAnsi="宋体"/>
          <w:sz w:val="24"/>
          <w:szCs w:val="24"/>
        </w:rPr>
        <w:t>≥</w:t>
      </w:r>
      <w:r>
        <w:rPr>
          <w:rFonts w:ascii="宋体" w:hAnsi="宋体"/>
          <w:sz w:val="24"/>
          <w:szCs w:val="24"/>
        </w:rPr>
        <w:t>1000条事件回顾。每条报警事件至少能够存储</w:t>
      </w:r>
      <w:r>
        <w:rPr>
          <w:rFonts w:hint="eastAsia" w:ascii="宋体" w:hAnsi="宋体"/>
          <w:sz w:val="24"/>
          <w:szCs w:val="24"/>
        </w:rPr>
        <w:t>32秒三道相关波形，以及报警触发时所有测量参数值</w:t>
      </w:r>
    </w:p>
    <w:p w14:paraId="1A86CDB7">
      <w:pPr>
        <w:widowControl w:val="0"/>
        <w:numPr>
          <w:ilvl w:val="0"/>
          <w:numId w:val="1"/>
        </w:numPr>
        <w:spacing w:after="0" w:line="360" w:lineRule="auto"/>
        <w:jc w:val="both"/>
        <w:rPr>
          <w:rFonts w:ascii="宋体" w:hAnsi="宋体"/>
          <w:sz w:val="24"/>
          <w:szCs w:val="24"/>
        </w:rPr>
      </w:pPr>
      <w:r>
        <w:rPr>
          <w:rFonts w:hint="eastAsia" w:ascii="宋体" w:hAnsi="宋体"/>
          <w:color w:val="000000"/>
          <w:sz w:val="24"/>
          <w:szCs w:val="24"/>
        </w:rPr>
        <w:t>具备</w:t>
      </w:r>
      <w:r>
        <w:rPr>
          <w:rFonts w:hint="eastAsia" w:ascii="宋体" w:hAnsi="宋体"/>
          <w:sz w:val="24"/>
          <w:szCs w:val="24"/>
        </w:rPr>
        <w:t>≥</w:t>
      </w:r>
      <w:r>
        <w:rPr>
          <w:rFonts w:hint="eastAsia" w:ascii="宋体" w:hAnsi="宋体"/>
          <w:color w:val="000000"/>
          <w:sz w:val="24"/>
          <w:szCs w:val="24"/>
        </w:rPr>
        <w:t>40小时全息波形的存储与回顾功能</w:t>
      </w:r>
    </w:p>
    <w:p w14:paraId="0483DFD2">
      <w:pPr>
        <w:widowControl w:val="0"/>
        <w:numPr>
          <w:ilvl w:val="0"/>
          <w:numId w:val="1"/>
        </w:numPr>
        <w:spacing w:after="0" w:line="360" w:lineRule="auto"/>
        <w:jc w:val="both"/>
        <w:rPr>
          <w:rFonts w:ascii="宋体" w:hAnsi="宋体"/>
          <w:sz w:val="24"/>
          <w:szCs w:val="24"/>
        </w:rPr>
      </w:pPr>
      <w:r>
        <w:rPr>
          <w:rFonts w:hint="eastAsia" w:ascii="宋体" w:hAnsi="宋体"/>
          <w:sz w:val="24"/>
          <w:szCs w:val="24"/>
        </w:rPr>
        <w:t>≥120小时ST波形片段的存储与回顾</w:t>
      </w:r>
    </w:p>
    <w:p w14:paraId="68A5AFE6">
      <w:pPr>
        <w:widowControl w:val="0"/>
        <w:numPr>
          <w:ilvl w:val="0"/>
          <w:numId w:val="1"/>
        </w:numPr>
        <w:spacing w:after="0" w:line="360" w:lineRule="auto"/>
        <w:jc w:val="both"/>
        <w:rPr>
          <w:rFonts w:ascii="宋体" w:hAnsi="宋体"/>
          <w:sz w:val="24"/>
          <w:szCs w:val="24"/>
        </w:rPr>
      </w:pPr>
      <w:r>
        <w:rPr>
          <w:rFonts w:hint="eastAsia" w:ascii="宋体" w:hAnsi="宋体"/>
          <w:sz w:val="24"/>
          <w:szCs w:val="24"/>
        </w:rPr>
        <w:t>患者离开科室，监护仪状态由接收患者到解除患者后，患者数据不删除，支持在监护仪回顾历史病人数据</w:t>
      </w:r>
    </w:p>
    <w:p w14:paraId="4B3444BF">
      <w:pPr>
        <w:widowControl w:val="0"/>
        <w:numPr>
          <w:ilvl w:val="0"/>
          <w:numId w:val="1"/>
        </w:numPr>
        <w:spacing w:after="0" w:line="360" w:lineRule="auto"/>
        <w:jc w:val="both"/>
        <w:rPr>
          <w:rFonts w:ascii="宋体" w:hAnsi="宋体"/>
          <w:sz w:val="24"/>
          <w:szCs w:val="24"/>
        </w:rPr>
      </w:pPr>
      <w:r>
        <w:rPr>
          <w:rFonts w:hint="eastAsia" w:ascii="宋体" w:hAnsi="宋体"/>
          <w:sz w:val="24"/>
          <w:szCs w:val="24"/>
        </w:rPr>
        <w:t>工作模式提供：监护模式、待机模式、</w:t>
      </w:r>
      <w:r>
        <w:rPr>
          <w:rFonts w:ascii="宋体" w:hAnsi="宋体"/>
          <w:sz w:val="24"/>
          <w:szCs w:val="24"/>
        </w:rPr>
        <w:t>体外循环模式模式、插管模式，夜间模式、隐私模式、演示模式</w:t>
      </w:r>
    </w:p>
    <w:p w14:paraId="5EECE2E3">
      <w:pPr>
        <w:widowControl w:val="0"/>
        <w:numPr>
          <w:ilvl w:val="0"/>
          <w:numId w:val="1"/>
        </w:numPr>
        <w:spacing w:after="0" w:line="360" w:lineRule="auto"/>
        <w:jc w:val="both"/>
        <w:rPr>
          <w:rFonts w:ascii="宋体" w:hAnsi="宋体"/>
          <w:sz w:val="24"/>
          <w:szCs w:val="24"/>
        </w:rPr>
      </w:pPr>
      <w:r>
        <w:rPr>
          <w:rFonts w:hint="eastAsia" w:ascii="宋体" w:hAnsi="宋体"/>
          <w:sz w:val="24"/>
          <w:szCs w:val="24"/>
        </w:rPr>
        <w:t>支持与除颤监护仪，遥测混合联通至中心监护系统，实现护士站的集中管理</w:t>
      </w:r>
    </w:p>
    <w:p w14:paraId="4C42E8A4">
      <w:pPr>
        <w:widowControl w:val="0"/>
        <w:spacing w:after="0" w:line="360" w:lineRule="auto"/>
        <w:ind w:left="420"/>
        <w:jc w:val="both"/>
        <w:rPr>
          <w:rFonts w:ascii="宋体" w:hAnsi="宋体"/>
          <w:b/>
          <w:sz w:val="24"/>
          <w:szCs w:val="24"/>
        </w:rPr>
      </w:pPr>
      <w:r>
        <w:rPr>
          <w:rFonts w:hint="eastAsia" w:ascii="宋体" w:hAnsi="宋体"/>
          <w:b/>
          <w:sz w:val="24"/>
          <w:szCs w:val="24"/>
        </w:rPr>
        <w:t>产品设计与认证</w:t>
      </w:r>
    </w:p>
    <w:p w14:paraId="0F7875BE">
      <w:pPr>
        <w:pStyle w:val="11"/>
        <w:numPr>
          <w:ilvl w:val="0"/>
          <w:numId w:val="1"/>
        </w:numPr>
        <w:spacing w:line="360" w:lineRule="auto"/>
        <w:ind w:right="-512" w:rightChars="-244" w:firstLineChars="0"/>
        <w:rPr>
          <w:rFonts w:ascii="宋体" w:hAnsi="宋体"/>
        </w:rPr>
      </w:pPr>
      <w:r>
        <w:rPr>
          <w:rFonts w:hint="eastAsia" w:ascii="宋体" w:hAnsi="宋体"/>
        </w:rPr>
        <w:t>产品通过国家III类注册和FDA认证</w:t>
      </w:r>
    </w:p>
    <w:p w14:paraId="66CB8BA4">
      <w:pPr>
        <w:pStyle w:val="11"/>
        <w:numPr>
          <w:ilvl w:val="0"/>
          <w:numId w:val="1"/>
        </w:numPr>
        <w:spacing w:line="360" w:lineRule="auto"/>
        <w:ind w:right="-512" w:rightChars="-244" w:firstLineChars="0"/>
        <w:rPr>
          <w:rFonts w:ascii="宋体" w:hAnsi="宋体"/>
        </w:rPr>
      </w:pPr>
      <w:r>
        <w:rPr>
          <w:rFonts w:hint="eastAsia" w:ascii="宋体" w:hAnsi="宋体"/>
        </w:rPr>
        <w:t>产品设计使用年限</w:t>
      </w:r>
      <w:r>
        <w:rPr>
          <w:rFonts w:hint="eastAsia" w:ascii="宋体" w:hAnsi="宋体" w:eastAsia="宋体"/>
        </w:rPr>
        <w:t>≥8年</w:t>
      </w:r>
    </w:p>
    <w:p w14:paraId="05BED862">
      <w:pPr>
        <w:spacing w:line="360" w:lineRule="auto"/>
        <w:ind w:left="420"/>
        <w:rPr>
          <w:rFonts w:ascii="宋体" w:hAnsi="宋体"/>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D66EAE25-F10D-4A74-AF5B-40FAD597027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tabs>
          <w:tab w:val="left" w:pos="704"/>
        </w:tabs>
        <w:ind w:left="704" w:hanging="42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VkNTdkZjdjZTRiMDg0ZGI1MWUxMjQwN2NiZTJlNzIifQ=="/>
  </w:docVars>
  <w:rsids>
    <w:rsidRoot w:val="00000000"/>
    <w:rsid w:val="14D20ECE"/>
    <w:rsid w:val="65AD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64" w:lineRule="auto"/>
    </w:pPr>
    <w:rPr>
      <w:rFonts w:ascii="Calibri" w:hAnsi="Calibri" w:eastAsia="宋体" w:cs="宋体"/>
      <w:kern w:val="0"/>
      <w:sz w:val="21"/>
      <w:szCs w:val="21"/>
      <w:lang w:val="en-US" w:eastAsia="zh-CN" w:bidi="ar-SA"/>
    </w:rPr>
  </w:style>
  <w:style w:type="character" w:default="1" w:styleId="9">
    <w:name w:val="Default Paragraph Fon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annotation text"/>
    <w:basedOn w:val="1"/>
    <w:link w:val="12"/>
    <w:uiPriority w:val="0"/>
    <w:pPr>
      <w:widowControl w:val="0"/>
      <w:spacing w:after="0" w:line="240" w:lineRule="auto"/>
    </w:pPr>
    <w:rPr>
      <w:rFonts w:ascii="Times New Roman" w:hAnsi="Times New Roman" w:eastAsia="宋体" w:cs="Times New Roman"/>
      <w:kern w:val="2"/>
      <w:szCs w:val="24"/>
    </w:rPr>
  </w:style>
  <w:style w:type="paragraph" w:styleId="3">
    <w:name w:val="Balloon Text"/>
    <w:basedOn w:val="1"/>
    <w:link w:val="13"/>
    <w:uiPriority w:val="99"/>
    <w:pPr>
      <w:spacing w:after="0" w:line="240" w:lineRule="auto"/>
    </w:pPr>
    <w:rPr>
      <w:sz w:val="18"/>
      <w:szCs w:val="18"/>
    </w:rPr>
  </w:style>
  <w:style w:type="paragraph" w:styleId="4">
    <w:name w:val="footer"/>
    <w:basedOn w:val="1"/>
    <w:link w:val="16"/>
    <w:uiPriority w:val="99"/>
    <w:pPr>
      <w:tabs>
        <w:tab w:val="center" w:pos="4153"/>
        <w:tab w:val="right" w:pos="8306"/>
      </w:tabs>
      <w:snapToGrid w:val="0"/>
      <w:spacing w:line="240" w:lineRule="auto"/>
    </w:pPr>
    <w:rPr>
      <w:sz w:val="18"/>
      <w:szCs w:val="18"/>
    </w:rPr>
  </w:style>
  <w:style w:type="paragraph" w:styleId="5">
    <w:name w:val="header"/>
    <w:basedOn w:val="1"/>
    <w:link w:val="15"/>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annotation subject"/>
    <w:basedOn w:val="2"/>
    <w:next w:val="2"/>
    <w:link w:val="14"/>
    <w:uiPriority w:val="99"/>
    <w:pPr>
      <w:widowControl/>
      <w:spacing w:after="120" w:line="264" w:lineRule="auto"/>
    </w:pPr>
    <w:rPr>
      <w:rFonts w:ascii="Calibri" w:hAnsi="Calibri" w:eastAsia="宋体" w:cs="宋体"/>
      <w:b/>
      <w:bCs/>
      <w:kern w:val="0"/>
      <w:szCs w:val="21"/>
    </w:rPr>
  </w:style>
  <w:style w:type="table" w:styleId="8">
    <w:name w:val="Table Grid"/>
    <w:basedOn w:val="7"/>
    <w:uiPriority w:val="39"/>
    <w:rPr>
      <w:kern w:val="0"/>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uiPriority w:val="0"/>
    <w:rPr>
      <w:sz w:val="21"/>
      <w:szCs w:val="21"/>
    </w:rPr>
  </w:style>
  <w:style w:type="paragraph" w:styleId="11">
    <w:name w:val="List Paragraph"/>
    <w:basedOn w:val="1"/>
    <w:qFormat/>
    <w:uiPriority w:val="34"/>
    <w:pPr>
      <w:spacing w:after="0" w:line="240" w:lineRule="auto"/>
      <w:ind w:firstLine="420" w:firstLineChars="200"/>
    </w:pPr>
    <w:rPr>
      <w:rFonts w:ascii="宋体" w:hAnsi="宋体" w:eastAsia="宋体" w:cs="宋体"/>
      <w:sz w:val="24"/>
      <w:szCs w:val="24"/>
    </w:rPr>
  </w:style>
  <w:style w:type="character" w:customStyle="1" w:styleId="12">
    <w:name w:val="批注文字 Char"/>
    <w:basedOn w:val="9"/>
    <w:link w:val="2"/>
    <w:uiPriority w:val="0"/>
    <w:rPr>
      <w:rFonts w:ascii="Times New Roman" w:hAnsi="Times New Roman" w:eastAsia="宋体" w:cs="Times New Roman"/>
      <w:szCs w:val="24"/>
    </w:rPr>
  </w:style>
  <w:style w:type="character" w:customStyle="1" w:styleId="13">
    <w:name w:val="批注框文本 Char"/>
    <w:basedOn w:val="9"/>
    <w:link w:val="3"/>
    <w:uiPriority w:val="99"/>
    <w:rPr>
      <w:kern w:val="0"/>
      <w:sz w:val="18"/>
      <w:szCs w:val="18"/>
    </w:rPr>
  </w:style>
  <w:style w:type="character" w:customStyle="1" w:styleId="14">
    <w:name w:val="批注主题 Char"/>
    <w:basedOn w:val="12"/>
    <w:link w:val="6"/>
    <w:uiPriority w:val="99"/>
    <w:rPr>
      <w:b/>
      <w:bCs/>
      <w:kern w:val="0"/>
      <w:szCs w:val="21"/>
    </w:rPr>
  </w:style>
  <w:style w:type="character" w:customStyle="1" w:styleId="15">
    <w:name w:val="页眉 Char"/>
    <w:basedOn w:val="9"/>
    <w:link w:val="5"/>
    <w:uiPriority w:val="99"/>
    <w:rPr>
      <w:kern w:val="0"/>
      <w:sz w:val="18"/>
      <w:szCs w:val="18"/>
    </w:rPr>
  </w:style>
  <w:style w:type="character" w:customStyle="1" w:styleId="16">
    <w:name w:val="页脚 Char"/>
    <w:basedOn w:val="9"/>
    <w:link w:val="4"/>
    <w:uiPriority w:val="99"/>
    <w:rPr>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1124</Words>
  <Characters>1241</Characters>
  <Paragraphs>47</Paragraphs>
  <TotalTime>12</TotalTime>
  <ScaleCrop>false</ScaleCrop>
  <LinksUpToDate>false</LinksUpToDate>
  <CharactersWithSpaces>1245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2019-02-16T09:10:00Z</dcterms:created>
  <dc:creator>mindray</dc:creator>
  <cp:lastModifiedBy>何丽明</cp:lastModifiedBy>
  <dcterms:modified xsi:type="dcterms:W3CDTF">2026-06-26T09:04:30Z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AC32243C6DAC4E60AAC2B37E3BDDE96A_12</vt:lpwstr>
  </property>
  <property fmtid="{D5CDD505-2E9C-101B-9397-08002B2CF9AE}" pid="4" name="KSOTemplateDocerSaveRecord">
    <vt:lpwstr>eyJoZGlkIjoiNjJkNzA1MTZmZDhhMjllNzFhNTUwYjQ3ODAxMTM4YTQiLCJ1c2VySWQiOiIxNzgzNDA4NDI2In0=</vt:lpwstr>
  </property>
</Properties>
</file>