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公司(盖章)：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报价单位业务代表：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tbl>
      <w:tblPr>
        <w:tblStyle w:val="8"/>
        <w:tblpPr w:leftFromText="180" w:rightFromText="180" w:vertAnchor="text" w:horzAnchor="page" w:tblpX="767" w:tblpY="246"/>
        <w:tblOverlap w:val="never"/>
        <w:tblW w:w="150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745"/>
        <w:gridCol w:w="1562"/>
        <w:gridCol w:w="1124"/>
        <w:gridCol w:w="1194"/>
        <w:gridCol w:w="1180"/>
        <w:gridCol w:w="1124"/>
        <w:gridCol w:w="1691"/>
        <w:gridCol w:w="1575"/>
        <w:gridCol w:w="1515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维保服务项目名称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设备品牌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设备型号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维保类型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维保费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维保期限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  <w:t>药剂科全自动片剂分包机年度维保服务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全自动片剂分包机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深圳国控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P350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技术保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  <w:t>维保范围包含分包机及配套软件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合计：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6" w:lineRule="atLeast"/>
        <w:ind w:left="1920" w:right="0" w:rightChars="0" w:hanging="1680" w:hangingChars="6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★情况说明：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6" w:lineRule="atLeas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上述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所报价格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需包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含安装、调试、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人工、装卸、食宿、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售后服务、培训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、税费（增值税普通发票）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等所有费用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eastAsia="zh-CN"/>
        </w:rPr>
        <w:t>设备故障经检修后如需更换配件，单次购买单件配件价值在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1000元（含）以内由维保公司负责，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eastAsia="zh-CN"/>
        </w:rPr>
        <w:t>单次购买单件配件价值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超过1000元可由维保公司按成本价提供，也可由维保服务采购方自行询价购买后再由维保公司免费安装调试。</w:t>
      </w:r>
    </w:p>
    <w:p>
      <w:pPr>
        <w:pStyle w:val="4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7F12324-928C-48FD-B0E3-40F97B9F018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1618CD6-DCF7-47C6-B776-62C80EE080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2A72D21-7918-436A-B72B-4D1043F21B8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a5ceebf-4d81-41cc-9dc0-5ed6b60f1ed3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164184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553E74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484A11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EC6E98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2032</Words>
  <Characters>2116</Characters>
  <Lines>5</Lines>
  <Paragraphs>1</Paragraphs>
  <TotalTime>3</TotalTime>
  <ScaleCrop>false</ScaleCrop>
  <LinksUpToDate>false</LinksUpToDate>
  <CharactersWithSpaces>2255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2025-06-12T08:48:05Z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9424C0DAD3FA48F792D5AAF2D9D234AB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