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病理科病理取材台一套询价采购报价单一份。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6117DD9-E919-4E0D-8FCA-E817899D47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CE8510-D328-46CD-ABAD-26338FCBBC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336cf29-b443-4fe8-8d16-35c57dfc9a5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3A141A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645360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1755</Words>
  <Characters>1923</Characters>
  <Lines>5</Lines>
  <Paragraphs>1</Paragraphs>
  <TotalTime>5</TotalTime>
  <ScaleCrop>false</ScaleCrop>
  <LinksUpToDate>false</LinksUpToDate>
  <CharactersWithSpaces>2095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2025-04-10T08:40:22Z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CE5B75C536B5487F81CD88C5446E7416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