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附件四：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妇产科新生儿血氧仪参数要求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屏幕显示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★彩色液晶显示屏，屏幕≥2.4英寸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屏幕分辨率≥320×240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血氧规格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测量范围：0~100%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分辨率：≥1%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精度：70~100%：± 2%；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有脉搏调制音功能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脉率测量范围：25 bpm ~250 bpm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精度：≥±1% 或者 ± 1 bpm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数据存储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趋势间隔：30秒～30分钟可选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存储方式：掉电保存</w:t>
      </w:r>
    </w:p>
    <w:p>
      <w:pPr>
        <w:pStyle w:val="12"/>
        <w:numPr>
          <w:ilvl w:val="1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存储容量：点测ID从1--99，每个ID可存储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不少于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300组，连续监测ID为0，可存储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不少于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30000组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pStyle w:val="12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4  电池要求</w:t>
      </w:r>
    </w:p>
    <w:p>
      <w:pPr>
        <w:pStyle w:val="12"/>
        <w:numPr>
          <w:ilvl w:val="0"/>
          <w:numId w:val="0"/>
        </w:numPr>
        <w:ind w:left="425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5.1续航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时间：≥14小时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04710FC-7735-40EF-965F-C078CF7030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3FDC7221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7C5319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933702B"/>
    <w:rsid w:val="6A23095E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5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2024-01-25T11:55:35Z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